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8F" w:rsidRPr="0069206D" w:rsidRDefault="00374A6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lang w:val="en-US"/>
        </w:rPr>
        <w:object w:dxaOrig="3208" w:dyaOrig="2279">
          <v:rect id="rectole0000000000" o:spid="_x0000_i1025" style="width:160.5pt;height:114pt" o:ole="" o:preferrelative="t" stroked="f">
            <v:imagedata r:id="rId8" o:title=""/>
          </v:rect>
          <o:OLEObject Type="Embed" ProgID="StaticMetafile" ShapeID="rectole0000000000" DrawAspect="Content" ObjectID="_1624077141" r:id="rId9"/>
        </w:object>
      </w:r>
    </w:p>
    <w:p w:rsidR="0051688F" w:rsidRPr="0069206D" w:rsidRDefault="00CD08D1" w:rsidP="00CD08D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>NATIONAL ENTITY FOR ACCREDITATION AND QUALITY ASSURANCE IN HIGHER EDUCATION OF SERBIA</w:t>
      </w: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tabs>
          <w:tab w:val="left" w:pos="2380"/>
          <w:tab w:val="left" w:pos="3400"/>
          <w:tab w:val="left" w:pos="4460"/>
          <w:tab w:val="left" w:pos="5480"/>
          <w:tab w:val="left" w:pos="6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1688F" w:rsidRPr="0069206D" w:rsidRDefault="00CD08D1">
      <w:pPr>
        <w:tabs>
          <w:tab w:val="left" w:pos="2380"/>
          <w:tab w:val="left" w:pos="3400"/>
          <w:tab w:val="left" w:pos="4460"/>
          <w:tab w:val="left" w:pos="5480"/>
          <w:tab w:val="left" w:pos="6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 xml:space="preserve">FINANCIAL PLAN </w:t>
      </w:r>
      <w:r w:rsidR="00374A68" w:rsidRPr="0069206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51688F" w:rsidRPr="0069206D" w:rsidRDefault="00CD08D1">
      <w:pPr>
        <w:tabs>
          <w:tab w:val="left" w:pos="2380"/>
          <w:tab w:val="left" w:pos="3400"/>
          <w:tab w:val="left" w:pos="4460"/>
          <w:tab w:val="left" w:pos="5480"/>
          <w:tab w:val="left" w:pos="6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>for 2019</w:t>
      </w: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69206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>Belgrade</w:t>
      </w:r>
      <w:r w:rsidR="00374A68" w:rsidRPr="0069206D">
        <w:rPr>
          <w:rFonts w:ascii="Times New Roman" w:eastAsia="Times New Roman" w:hAnsi="Times New Roman" w:cs="Times New Roman"/>
          <w:b/>
          <w:sz w:val="24"/>
          <w:lang w:val="en-US"/>
        </w:rPr>
        <w:t xml:space="preserve">, </w:t>
      </w: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>December 2018</w:t>
      </w:r>
    </w:p>
    <w:p w:rsidR="0051688F" w:rsidRPr="0069206D" w:rsidRDefault="00516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1688F" w:rsidRPr="0069206D" w:rsidRDefault="005168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74A68" w:rsidRPr="0069206D" w:rsidRDefault="00374A68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Pursuant to Article 17, paragraph 1, 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>item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3 and Article 14, paragraph 3 of the Law on Higher Education ("Official Gazette of the Republic of Serbia", Nos. 88/17 and 27/18-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>another law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), as well as 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 xml:space="preserve">to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Article 9, paragraph 1, 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tem 4 of the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>Statute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the </w:t>
      </w:r>
      <w:r w:rsidR="00A35D73" w:rsidRPr="00A35D73">
        <w:rPr>
          <w:rFonts w:ascii="Times New Roman" w:eastAsia="Times New Roman" w:hAnsi="Times New Roman" w:cs="Times New Roman"/>
          <w:sz w:val="24"/>
          <w:lang w:val="en-US"/>
        </w:rPr>
        <w:t>National Entity for Accreditation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CB442D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CB442D" w:rsidRPr="00A35D73">
        <w:rPr>
          <w:rFonts w:ascii="Times New Roman" w:eastAsia="Times New Roman" w:hAnsi="Times New Roman" w:cs="Times New Roman"/>
          <w:sz w:val="24"/>
          <w:lang w:val="en-US"/>
        </w:rPr>
        <w:t>National Entity for Accreditation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16ED4">
        <w:rPr>
          <w:rFonts w:ascii="Times New Roman" w:eastAsia="Times New Roman" w:hAnsi="Times New Roman" w:cs="Times New Roman"/>
          <w:sz w:val="24"/>
          <w:lang w:val="en-US"/>
        </w:rPr>
        <w:t xml:space="preserve">Steering </w:t>
      </w:r>
      <w:r w:rsidR="00CB442D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Board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has adopted</w:t>
      </w:r>
      <w:r w:rsidR="00CB442D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its session of </w:t>
      </w:r>
      <w:r w:rsidR="00CB442D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April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11</w:t>
      </w:r>
      <w:r w:rsidR="00CB442D">
        <w:rPr>
          <w:rFonts w:ascii="Times New Roman" w:eastAsia="Times New Roman" w:hAnsi="Times New Roman" w:cs="Times New Roman"/>
          <w:sz w:val="24"/>
          <w:lang w:val="en-US"/>
        </w:rPr>
        <w:t>,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2019, </w:t>
      </w:r>
    </w:p>
    <w:p w:rsidR="00374A68" w:rsidRPr="009B0A64" w:rsidRDefault="009B0A64" w:rsidP="009B0A64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9B0A64">
        <w:rPr>
          <w:rFonts w:ascii="Times New Roman" w:eastAsia="Times New Roman" w:hAnsi="Times New Roman" w:cs="Times New Roman"/>
          <w:b/>
          <w:sz w:val="24"/>
          <w:lang w:val="en-US"/>
        </w:rPr>
        <w:t xml:space="preserve">THE </w:t>
      </w:r>
      <w:r w:rsidR="00374A68" w:rsidRPr="009B0A64">
        <w:rPr>
          <w:rFonts w:ascii="Times New Roman" w:eastAsia="Times New Roman" w:hAnsi="Times New Roman" w:cs="Times New Roman"/>
          <w:b/>
          <w:sz w:val="24"/>
          <w:lang w:val="en-US"/>
        </w:rPr>
        <w:t>FINANCIAL PLAN</w:t>
      </w:r>
      <w:r w:rsidRPr="009B0A64">
        <w:rPr>
          <w:rFonts w:ascii="Times New Roman" w:eastAsia="Times New Roman" w:hAnsi="Times New Roman" w:cs="Times New Roman"/>
          <w:b/>
          <w:sz w:val="24"/>
          <w:lang w:val="en-US"/>
        </w:rPr>
        <w:t xml:space="preserve"> PROPOSAL</w:t>
      </w:r>
      <w:r w:rsidRPr="009B0A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9B0A64">
        <w:rPr>
          <w:rFonts w:ascii="Times New Roman" w:eastAsia="Times New Roman" w:hAnsi="Times New Roman" w:cs="Times New Roman"/>
          <w:b/>
          <w:sz w:val="24"/>
          <w:lang w:val="en-US"/>
        </w:rPr>
        <w:t>FOR 2019</w:t>
      </w:r>
    </w:p>
    <w:p w:rsidR="00374A68" w:rsidRPr="009B0A64" w:rsidRDefault="009B0A64" w:rsidP="009B0A64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9B0A64">
        <w:rPr>
          <w:rFonts w:ascii="Times New Roman" w:eastAsia="Times New Roman" w:hAnsi="Times New Roman" w:cs="Times New Roman"/>
          <w:b/>
          <w:sz w:val="24"/>
          <w:lang w:val="en-US"/>
        </w:rPr>
        <w:t xml:space="preserve">OF THE </w:t>
      </w:r>
      <w:r w:rsidR="00AD13DF" w:rsidRPr="00AD13DF">
        <w:rPr>
          <w:rFonts w:ascii="Times New Roman" w:eastAsia="Times New Roman" w:hAnsi="Times New Roman" w:cs="Times New Roman"/>
          <w:b/>
          <w:sz w:val="24"/>
          <w:lang w:val="en-US"/>
        </w:rPr>
        <w:t>NATIONAL ENTITY FOR ACCREDITATION AND QUALITY ASSURANCE IN HIGHER EDUCATION OF SERBIA</w:t>
      </w:r>
    </w:p>
    <w:p w:rsidR="00374A68" w:rsidRPr="0069206D" w:rsidRDefault="00374A68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financial plan shall record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revenues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and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incomes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and expenditures and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costs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the </w:t>
      </w:r>
      <w:r w:rsidR="00A35D73" w:rsidRPr="00A35D73">
        <w:rPr>
          <w:rFonts w:ascii="Times New Roman" w:eastAsia="Times New Roman" w:hAnsi="Times New Roman" w:cs="Times New Roman"/>
          <w:sz w:val="24"/>
          <w:lang w:val="en-US"/>
        </w:rPr>
        <w:t>National Entity for Accreditation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and Quality Assurance in Higher Education (hereinafter: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A35D73" w:rsidRPr="00A35D73">
        <w:rPr>
          <w:rFonts w:ascii="Times New Roman" w:eastAsia="Times New Roman" w:hAnsi="Times New Roman" w:cs="Times New Roman"/>
          <w:sz w:val="24"/>
          <w:lang w:val="en-US"/>
        </w:rPr>
        <w:t xml:space="preserve">National Entity for Accreditation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-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) for 2019. The p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lanned revenues are balanced with planned expen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es.</w:t>
      </w:r>
    </w:p>
    <w:p w:rsidR="00374A68" w:rsidRPr="0069206D" w:rsidRDefault="009B0A64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9B0A64">
        <w:rPr>
          <w:rFonts w:ascii="Times New Roman" w:eastAsia="Times New Roman" w:hAnsi="Times New Roman" w:cs="Times New Roman"/>
          <w:sz w:val="24"/>
          <w:lang w:val="en-US"/>
        </w:rPr>
        <w:t xml:space="preserve">Pursuant to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Article 14, paragraph 3 of the Law on Higher Education, the </w:t>
      </w:r>
      <w:r w:rsidR="00A35D73" w:rsidRPr="00A35D73">
        <w:rPr>
          <w:rFonts w:ascii="Times New Roman" w:eastAsia="Times New Roman" w:hAnsi="Times New Roman" w:cs="Times New Roman"/>
          <w:sz w:val="24"/>
          <w:lang w:val="en-US"/>
        </w:rPr>
        <w:t xml:space="preserve">National Entity for Accreditation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is financed from the income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generated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from fees for accreditation and external quality </w:t>
      </w:r>
      <w:r w:rsidR="00AD13DF">
        <w:rPr>
          <w:rFonts w:ascii="Times New Roman" w:eastAsia="Times New Roman" w:hAnsi="Times New Roman" w:cs="Times New Roman"/>
          <w:sz w:val="24"/>
          <w:lang w:val="en-US"/>
        </w:rPr>
        <w:t>control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of higher education institutions and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their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units, evaluation of study programs and quality 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control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in higher education and other income in accordance with the law.</w:t>
      </w:r>
    </w:p>
    <w:p w:rsidR="00374A68" w:rsidRPr="0069206D" w:rsidRDefault="00374A68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Unlike the previous Commission for Accreditation and Quality Assurance, whose activity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financed entirely from the budget,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operates in accordance with the new Law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,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as a financially self-sustain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ed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entity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, which independently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generates its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own revenues,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which the most important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 xml:space="preserve">source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are the fees for accreditation and quality 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control </w:t>
      </w:r>
      <w:r w:rsidR="00AD13DF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higher education institutions .</w:t>
      </w:r>
    </w:p>
    <w:p w:rsidR="00374A68" w:rsidRPr="0069206D" w:rsidRDefault="00374A68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new Law on Higher Education stipulates that the accreditation of higher education institutions is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carried out every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seven, instead of five years as </w:t>
      </w:r>
      <w:r w:rsidR="009B0A64">
        <w:rPr>
          <w:rFonts w:ascii="Times New Roman" w:eastAsia="Times New Roman" w:hAnsi="Times New Roman" w:cs="Times New Roman"/>
          <w:sz w:val="24"/>
          <w:lang w:val="en-US"/>
        </w:rPr>
        <w:t>previously proscribed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374A68" w:rsidRPr="0069206D" w:rsidRDefault="00374A68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A35D73" w:rsidRPr="00A35D73">
        <w:rPr>
          <w:rFonts w:ascii="Times New Roman" w:eastAsia="Times New Roman" w:hAnsi="Times New Roman" w:cs="Times New Roman"/>
          <w:sz w:val="24"/>
          <w:lang w:val="en-US"/>
        </w:rPr>
        <w:t xml:space="preserve">National Entity for Accreditation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has fixed monthly expenditures, which, in addition to the current costs and </w:t>
      </w:r>
      <w:r w:rsidR="009B0A64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employee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salaries, includes the payment of fees for 17 members of the Accreditation Commission and seven members of the </w:t>
      </w:r>
      <w:r w:rsidR="00D16ED4" w:rsidRPr="00D16ED4">
        <w:rPr>
          <w:rFonts w:ascii="Times New Roman" w:eastAsia="Times New Roman" w:hAnsi="Times New Roman" w:cs="Times New Roman"/>
          <w:sz w:val="24"/>
          <w:lang w:val="en-US"/>
        </w:rPr>
        <w:t>Steering Board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. The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highest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expenditures are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 xml:space="preserve">for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fees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reviewers under contracts. In order to comply with ENQA's requirements as a condition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to keep its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full membership</w:t>
      </w:r>
      <w:r w:rsidR="006273E3" w:rsidRPr="006273E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6273E3" w:rsidRPr="0069206D">
        <w:rPr>
          <w:rFonts w:ascii="Times New Roman" w:eastAsia="Times New Roman" w:hAnsi="Times New Roman" w:cs="Times New Roman"/>
          <w:sz w:val="24"/>
          <w:lang w:val="en-US"/>
        </w:rPr>
        <w:t>in this international agency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,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the number of reviewers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for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each request has been increased from 2 to 5, one of which should be a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 xml:space="preserve"> foreign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expert, which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 xml:space="preserve">has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significantly influenced the increase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expenditures.</w:t>
      </w:r>
    </w:p>
    <w:p w:rsidR="00374A68" w:rsidRPr="0069206D" w:rsidRDefault="00374A68" w:rsidP="00374A68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69206D">
        <w:rPr>
          <w:rFonts w:ascii="Times New Roman" w:eastAsia="Times New Roman" w:hAnsi="Times New Roman" w:cs="Times New Roman"/>
          <w:sz w:val="24"/>
          <w:lang w:val="en-US"/>
        </w:rPr>
        <w:t>Revenues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Plan state</w:t>
      </w:r>
      <w:r w:rsidR="0069206D"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the accreditation fees and external </w:t>
      </w:r>
      <w:r w:rsidR="006273E3" w:rsidRPr="0069206D">
        <w:rPr>
          <w:rFonts w:ascii="Times New Roman" w:eastAsia="Times New Roman" w:hAnsi="Times New Roman" w:cs="Times New Roman"/>
          <w:sz w:val="24"/>
          <w:lang w:val="en-US"/>
        </w:rPr>
        <w:t>qualit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y</w:t>
      </w:r>
      <w:r w:rsidR="006273E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control </w:t>
      </w:r>
      <w:r w:rsidR="006273E3">
        <w:rPr>
          <w:rFonts w:ascii="Times New Roman" w:eastAsia="Times New Roman" w:hAnsi="Times New Roman" w:cs="Times New Roman"/>
          <w:sz w:val="24"/>
          <w:lang w:val="en-US"/>
        </w:rPr>
        <w:t>fees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374A68" w:rsidRDefault="006273E3" w:rsidP="00374A68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>A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ccreditation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fees and external quality 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control </w:t>
      </w:r>
      <w:r>
        <w:rPr>
          <w:rFonts w:ascii="Times New Roman" w:eastAsia="Times New Roman" w:hAnsi="Times New Roman" w:cs="Times New Roman"/>
          <w:sz w:val="24"/>
          <w:lang w:val="en-US"/>
        </w:rPr>
        <w:t>fees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AD13DF" w:rsidRPr="00AD13DF" w:rsidRDefault="00AD13DF" w:rsidP="00AD13D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 xml:space="preserve">The fee for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initial accreditation of a higher education institution and its study programs is RSD 2,000,000.00;</w:t>
      </w:r>
    </w:p>
    <w:p w:rsidR="00AD13DF" w:rsidRPr="00AD13DF" w:rsidRDefault="00AD13DF" w:rsidP="00AD13D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lastRenderedPageBreak/>
        <w:t xml:space="preserve">The fee for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accreditation of higher education institutions is:</w:t>
      </w:r>
    </w:p>
    <w:p w:rsidR="00AD13DF" w:rsidRPr="00AD13DF" w:rsidRDefault="00AD13DF" w:rsidP="00AD13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universities - RSD 1,080,000.00;</w:t>
      </w:r>
    </w:p>
    <w:p w:rsidR="00AD13DF" w:rsidRPr="00AD13DF" w:rsidRDefault="00AD13DF" w:rsidP="00AD13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academies of vocational studies - RSD 720,000.00;</w:t>
      </w:r>
    </w:p>
    <w:p w:rsidR="00AD13DF" w:rsidRPr="00AD13DF" w:rsidRDefault="00AD13DF" w:rsidP="00AD13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art faculties and art academies – RSD 540,000.00;</w:t>
      </w:r>
    </w:p>
    <w:p w:rsidR="00AD13DF" w:rsidRPr="00AD13DF" w:rsidRDefault="00AD13DF" w:rsidP="00AD13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the high vocational schools - RSD 480,000.00;</w:t>
      </w:r>
    </w:p>
    <w:p w:rsidR="00AD13DF" w:rsidRPr="00AD13DF" w:rsidRDefault="00AD13DF" w:rsidP="00AD13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high schools - RSD 648,000.00;</w:t>
      </w:r>
    </w:p>
    <w:p w:rsidR="00AD13DF" w:rsidRPr="00AD13DF" w:rsidRDefault="00AD13DF" w:rsidP="00AD13D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The fee for the accreditation of study programs is:</w:t>
      </w:r>
    </w:p>
    <w:p w:rsidR="00AD13DF" w:rsidRPr="00AD13DF" w:rsidRDefault="00AD13DF" w:rsidP="00AD13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 study program - RSD 320,000.00;</w:t>
      </w:r>
    </w:p>
    <w:p w:rsidR="00AD13DF" w:rsidRPr="00AD13DF" w:rsidRDefault="00AD13DF" w:rsidP="00AD13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changing a study program - RSD 100,000.00;</w:t>
      </w:r>
    </w:p>
    <w:p w:rsidR="00AD13DF" w:rsidRPr="00AD13DF" w:rsidRDefault="00AD13DF" w:rsidP="00AD13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 joint study program - RSD 350,000.00;</w:t>
      </w:r>
    </w:p>
    <w:p w:rsidR="00AD13DF" w:rsidRPr="00AD13DF" w:rsidRDefault="00AD13DF" w:rsidP="00AD13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 study program in Serbian and in a foreign language - RSD 350,000.00;</w:t>
      </w:r>
    </w:p>
    <w:p w:rsidR="00AD13DF" w:rsidRPr="00AD13DF" w:rsidRDefault="00AD13DF" w:rsidP="00AD13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each module - 10% of the fee for the corresponding study program;</w:t>
      </w:r>
    </w:p>
    <w:p w:rsidR="00AD13DF" w:rsidRPr="00AD13DF" w:rsidRDefault="00AD13DF" w:rsidP="00AD13D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 xml:space="preserve">The fee for issuing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certificates is:</w:t>
      </w:r>
    </w:p>
    <w:p w:rsidR="00AD13DF" w:rsidRPr="00AD13DF" w:rsidRDefault="00AD13DF" w:rsidP="00AD13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issuing a certificate for the accreditation of an institution - RSD 48,000</w:t>
      </w:r>
      <w:r>
        <w:rPr>
          <w:rFonts w:ascii="Times New Roman" w:eastAsia="Times New Roman" w:hAnsi="Times New Roman" w:cs="Times New Roman"/>
          <w:sz w:val="24"/>
          <w:lang w:val="en-US"/>
        </w:rPr>
        <w:t>.00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AD13DF" w:rsidRPr="00AD13DF" w:rsidRDefault="00AD13DF" w:rsidP="00AD13D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issuing a certificate</w:t>
      </w:r>
      <w:bookmarkStart w:id="0" w:name="_GoBack"/>
      <w:bookmarkEnd w:id="0"/>
      <w:r w:rsidRPr="00AD13DF">
        <w:rPr>
          <w:rFonts w:ascii="Times New Roman" w:eastAsia="Times New Roman" w:hAnsi="Times New Roman" w:cs="Times New Roman"/>
          <w:sz w:val="24"/>
          <w:lang w:val="en-US"/>
        </w:rPr>
        <w:t xml:space="preserve"> for the accreditation of a program - RSD 20,000.00 </w:t>
      </w:r>
    </w:p>
    <w:p w:rsidR="00AD13DF" w:rsidRPr="00AD13DF" w:rsidRDefault="00AD13DF" w:rsidP="00AD13D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The fee for an external quality control is:</w:t>
      </w:r>
    </w:p>
    <w:p w:rsidR="00AD13DF" w:rsidRPr="00AD13DF" w:rsidRDefault="00AD13DF" w:rsidP="00AD13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universit</w:t>
      </w:r>
      <w:r>
        <w:rPr>
          <w:rFonts w:ascii="Times New Roman" w:eastAsia="Times New Roman" w:hAnsi="Times New Roman" w:cs="Times New Roman"/>
          <w:sz w:val="24"/>
          <w:lang w:val="en-US"/>
        </w:rPr>
        <w:t>ies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: RSD 640</w:t>
      </w:r>
      <w:r>
        <w:rPr>
          <w:rFonts w:ascii="Times New Roman" w:eastAsia="Times New Roman" w:hAnsi="Times New Roman" w:cs="Times New Roman"/>
          <w:sz w:val="24"/>
          <w:lang w:val="en-US"/>
        </w:rPr>
        <w:t>,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>00;</w:t>
      </w:r>
    </w:p>
    <w:p w:rsidR="00AD13DF" w:rsidRPr="00AD13DF" w:rsidRDefault="00AD13DF" w:rsidP="00AD13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art faculties and art academies - RSD 350,000.00;</w:t>
      </w:r>
    </w:p>
    <w:p w:rsidR="00AD13DF" w:rsidRPr="00AD13DF" w:rsidRDefault="00AD13DF" w:rsidP="00AD13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academies of vocational studies - RSD 420,000.00;</w:t>
      </w:r>
    </w:p>
    <w:p w:rsidR="00AD13DF" w:rsidRPr="00AD13DF" w:rsidRDefault="00AD13DF" w:rsidP="00AD13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high vocational school</w:t>
      </w:r>
      <w:r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 xml:space="preserve"> - RSD 320,000.00;</w:t>
      </w:r>
    </w:p>
    <w:p w:rsidR="00AD13DF" w:rsidRDefault="00AD13DF" w:rsidP="00AD13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high school</w:t>
      </w:r>
      <w:r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AD13DF">
        <w:rPr>
          <w:rFonts w:ascii="Times New Roman" w:eastAsia="Times New Roman" w:hAnsi="Times New Roman" w:cs="Times New Roman"/>
          <w:sz w:val="24"/>
          <w:lang w:val="en-US"/>
        </w:rPr>
        <w:t xml:space="preserve"> - RSD 420,000.00;</w:t>
      </w:r>
    </w:p>
    <w:p w:rsidR="00AD13DF" w:rsidRDefault="00AD13DF" w:rsidP="00AD13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sz w:val="24"/>
          <w:lang w:val="en-US"/>
        </w:rPr>
        <w:t>for study programs - RSD 180,000.00;</w:t>
      </w:r>
    </w:p>
    <w:p w:rsidR="00AD13DF" w:rsidRPr="00AD13DF" w:rsidRDefault="00AD13DF" w:rsidP="00AD13D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374A68" w:rsidRPr="00AD13DF" w:rsidRDefault="0069206D" w:rsidP="00AD13DF">
      <w:pPr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D13DF">
        <w:rPr>
          <w:rFonts w:ascii="Times New Roman" w:eastAsia="Times New Roman" w:hAnsi="Times New Roman" w:cs="Times New Roman"/>
          <w:b/>
          <w:sz w:val="24"/>
          <w:lang w:val="en-US"/>
        </w:rPr>
        <w:t>Revenue</w:t>
      </w:r>
      <w:r w:rsidR="00AD13DF">
        <w:rPr>
          <w:rFonts w:ascii="Times New Roman" w:eastAsia="Times New Roman" w:hAnsi="Times New Roman" w:cs="Times New Roman"/>
          <w:b/>
          <w:sz w:val="24"/>
          <w:lang w:val="en-US"/>
        </w:rPr>
        <w:t>s</w:t>
      </w:r>
      <w:r w:rsidRPr="00AD13DF">
        <w:rPr>
          <w:rFonts w:ascii="Times New Roman" w:eastAsia="Times New Roman" w:hAnsi="Times New Roman" w:cs="Times New Roman"/>
          <w:b/>
          <w:sz w:val="24"/>
          <w:lang w:val="en-US"/>
        </w:rPr>
        <w:t xml:space="preserve"> Plan</w:t>
      </w:r>
    </w:p>
    <w:p w:rsidR="00374A68" w:rsidRPr="0069206D" w:rsidRDefault="00374A68" w:rsidP="00374A68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>The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accreditation and quality 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control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plan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>for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2019 is based on the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work plan for 2019, based on a projection of the number of higher education institutions that will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>go through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the process of accreditation and external quality </w:t>
      </w:r>
      <w:r w:rsidR="00AD13DF" w:rsidRPr="00AD13DF">
        <w:rPr>
          <w:rFonts w:ascii="Times New Roman" w:eastAsia="Times New Roman" w:hAnsi="Times New Roman" w:cs="Times New Roman"/>
          <w:sz w:val="24"/>
          <w:lang w:val="en-US"/>
        </w:rPr>
        <w:t xml:space="preserve">control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in th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>at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year, as well as for </w:t>
      </w:r>
      <w:r w:rsidR="00ED5345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study programs. This relates primarily to the planned re-accreditation of faculties and universities during 2019. In addition, it is planned that </w:t>
      </w:r>
      <w:r w:rsidR="00ED5345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 certain number of newly established higher education institutions will go through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the process of accreditation.</w:t>
      </w:r>
    </w:p>
    <w:p w:rsidR="0051688F" w:rsidRPr="0069206D" w:rsidRDefault="0051688F">
      <w:pPr>
        <w:ind w:firstLine="720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623"/>
        <w:gridCol w:w="1096"/>
        <w:gridCol w:w="1207"/>
        <w:gridCol w:w="1253"/>
      </w:tblGrid>
      <w:tr w:rsidR="0051688F" w:rsidRPr="007A3E05" w:rsidTr="00ED5345">
        <w:tc>
          <w:tcPr>
            <w:tcW w:w="9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7A3E05" w:rsidRDefault="00AD13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lang w:val="en-US"/>
              </w:rPr>
              <w:t>PLANNED REVENUES</w:t>
            </w: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AD1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Type of revenue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AD1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No.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AD1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Fee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AD13DF" w:rsidP="00ED53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Amount</w:t>
            </w:r>
          </w:p>
        </w:tc>
      </w:tr>
      <w:tr w:rsidR="00ED5345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1. The initial accreditation of an institution and a study program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2,000,000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12,000,000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2. Re-accreditation of  universities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1,080,000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3. Accreditation of faculties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19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540,000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10,260,000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4. Accreditation of academies of vocational studies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720,000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4,320,000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5. Accreditation of </w:t>
            </w:r>
            <w:r w:rsidR="007A3E05"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high 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vocational schools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480,000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6. Accreditation of high schools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648,000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1,944,000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ED53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Accreditation of institutions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36</w:t>
            </w:r>
            <w:r w:rsidR="0069206D" w:rsidRPr="007A3E0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324</w:t>
            </w:r>
            <w:r w:rsidR="0069206D" w:rsidRPr="007A3E0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ED5345" w:rsidRPr="007A3E05" w:rsidTr="00312AE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7. Accreditation of study programs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320,000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70,400,000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312AE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8. Accreditation of joint study programs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350,000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5345" w:rsidRPr="007A3E05" w:rsidTr="00312AEF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9. Accreditation of programs in Serbian and in English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350,000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34,650,000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345" w:rsidRPr="007A3E05" w:rsidRDefault="00ED5345" w:rsidP="00ED53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ED53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Accreditation of study programs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106</w:t>
            </w:r>
            <w:r w:rsidR="0069206D" w:rsidRPr="007A3E0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450</w:t>
            </w:r>
            <w:r w:rsidR="0069206D" w:rsidRPr="007A3E0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7A3E05" w:rsidRPr="007A3E05" w:rsidTr="00B601D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10. Certification of universities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48,000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2,112,000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A3E05" w:rsidRPr="007A3E05" w:rsidTr="00B601D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11. Certification of study programs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20,000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6,460,000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7A3E05" w:rsidRDefault="007A3E0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Issuing certificates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5168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69206D" w:rsidRPr="007A3E0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572</w:t>
            </w:r>
            <w:r w:rsidR="0069206D" w:rsidRPr="007A3E05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7A3E05" w:rsidRPr="007A3E05" w:rsidTr="00F17027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12. University EQC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640,000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2,560,000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A3E05" w:rsidRPr="007A3E05" w:rsidTr="00F17027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13. Faculty EQC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350,000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A3E05" w:rsidRPr="007A3E05" w:rsidTr="00F17027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14. Academy of Vocational Studies EQC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420,000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A3E05" w:rsidRPr="007A3E05" w:rsidTr="00F17027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15. High vocational schools EQC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320,000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1,280,000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A3E05" w:rsidRPr="007A3E05" w:rsidTr="00F17027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16. High schools EQC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420,000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1,680,000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A3E05" w:rsidRPr="007A3E05" w:rsidTr="00F17027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 xml:space="preserve">17. Study programs EQC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lang w:val="en-US"/>
              </w:rPr>
              <w:t>180,000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4,500,000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E05" w:rsidRPr="007A3E05" w:rsidRDefault="007A3E05" w:rsidP="007A3E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7A3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External Quality Control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  <w:r w:rsidR="0069206D"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920</w:t>
            </w:r>
            <w:r w:rsidR="0069206D"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000</w:t>
            </w: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688F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lang w:val="en-US"/>
              </w:rPr>
              <w:t>OWN REVENUE IN 2019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166</w:t>
            </w:r>
            <w:r w:rsidR="0069206D"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266</w:t>
            </w:r>
            <w:r w:rsidR="0069206D"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000</w:t>
            </w: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688F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lang w:val="en-US"/>
              </w:rPr>
              <w:t>REVENUE FROM THE BUDGET OF THE REPUBLIC OF SERBIA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  <w:r w:rsidR="0069206D"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000</w:t>
            </w:r>
            <w:r w:rsidR="0069206D"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000</w:t>
            </w:r>
          </w:p>
        </w:tc>
      </w:tr>
      <w:tr w:rsidR="0051688F" w:rsidRPr="007A3E05" w:rsidTr="00ED5345"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51688F" w:rsidRPr="007A3E05" w:rsidRDefault="007A3E05" w:rsidP="007A3E05">
            <w:pPr>
              <w:tabs>
                <w:tab w:val="left" w:pos="753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lang w:val="en-US"/>
              </w:rPr>
              <w:t>TOTAL INCOME FOR 2019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bottom"/>
          </w:tcPr>
          <w:p w:rsidR="0051688F" w:rsidRPr="007A3E05" w:rsidRDefault="00374A68" w:rsidP="007A3E0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186</w:t>
            </w:r>
            <w:r w:rsidR="0069206D"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266</w:t>
            </w:r>
            <w:r w:rsidR="0069206D"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7A3E0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000</w:t>
            </w:r>
          </w:p>
        </w:tc>
      </w:tr>
    </w:tbl>
    <w:p w:rsidR="0069206D" w:rsidRPr="0069206D" w:rsidRDefault="0069206D">
      <w:pPr>
        <w:tabs>
          <w:tab w:val="left" w:pos="7538"/>
        </w:tabs>
        <w:jc w:val="both"/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</w:pPr>
    </w:p>
    <w:p w:rsidR="00374A68" w:rsidRPr="0069206D" w:rsidRDefault="00374A68" w:rsidP="00374A68">
      <w:pPr>
        <w:tabs>
          <w:tab w:val="left" w:pos="7538"/>
        </w:tabs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>Expen</w:t>
      </w:r>
      <w:r w:rsidR="007A3E05">
        <w:rPr>
          <w:rFonts w:ascii="Times New Roman" w:eastAsia="Times New Roman" w:hAnsi="Times New Roman" w:cs="Times New Roman"/>
          <w:b/>
          <w:sz w:val="24"/>
          <w:lang w:val="en-US"/>
        </w:rPr>
        <w:t>se</w:t>
      </w: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7A3E05">
        <w:rPr>
          <w:rFonts w:ascii="Times New Roman" w:eastAsia="Times New Roman" w:hAnsi="Times New Roman" w:cs="Times New Roman"/>
          <w:b/>
          <w:sz w:val="24"/>
          <w:lang w:val="en-US"/>
        </w:rPr>
        <w:t>P</w:t>
      </w:r>
      <w:r w:rsidRPr="0069206D">
        <w:rPr>
          <w:rFonts w:ascii="Times New Roman" w:eastAsia="Times New Roman" w:hAnsi="Times New Roman" w:cs="Times New Roman"/>
          <w:b/>
          <w:sz w:val="24"/>
          <w:lang w:val="en-US"/>
        </w:rPr>
        <w:t>lan</w:t>
      </w:r>
    </w:p>
    <w:p w:rsidR="00374A68" w:rsidRPr="0069206D" w:rsidRDefault="00374A68" w:rsidP="00374A68">
      <w:pPr>
        <w:tabs>
          <w:tab w:val="left" w:pos="7538"/>
        </w:tabs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>The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expense plan 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>for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2019 was primarily based on the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Work Plan for 2019. The priority activities </w:t>
      </w:r>
      <w:r w:rsidR="007A3E05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planned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in this year are: 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 xml:space="preserve">high quality of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accreditation of higher education institutions, efficient implementation of external quality control procedure, maintenance of the status of 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 xml:space="preserve">a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regular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member in the international institution ENQA, 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>ins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uring </w:t>
      </w:r>
      <w:r w:rsidR="007A3E05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EQAR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membership, mandatory presence of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representatives at international symposiums and conferences in the field of high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>er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education, cooperation with 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 xml:space="preserve">regional and global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accreditation agencies, etc.</w:t>
      </w:r>
    </w:p>
    <w:p w:rsidR="00374A68" w:rsidRPr="0069206D" w:rsidRDefault="00374A68" w:rsidP="00374A68">
      <w:pPr>
        <w:tabs>
          <w:tab w:val="left" w:pos="7538"/>
        </w:tabs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In 2019, expenditures in the total amount of </w:t>
      </w:r>
      <w:r w:rsidR="007A3E05" w:rsidRPr="007A3E05">
        <w:rPr>
          <w:rFonts w:ascii="Times New Roman" w:eastAsia="Times New Roman" w:hAnsi="Times New Roman" w:cs="Times New Roman"/>
          <w:b/>
          <w:sz w:val="24"/>
          <w:lang w:val="en-US"/>
        </w:rPr>
        <w:t xml:space="preserve">RSD </w:t>
      </w:r>
      <w:r w:rsidRPr="007A3E05">
        <w:rPr>
          <w:rFonts w:ascii="Times New Roman" w:eastAsia="Times New Roman" w:hAnsi="Times New Roman" w:cs="Times New Roman"/>
          <w:b/>
          <w:sz w:val="24"/>
          <w:lang w:val="en-US"/>
        </w:rPr>
        <w:t>186</w:t>
      </w:r>
      <w:r w:rsidR="0069206D" w:rsidRPr="007A3E05">
        <w:rPr>
          <w:rFonts w:ascii="Times New Roman" w:eastAsia="Times New Roman" w:hAnsi="Times New Roman" w:cs="Times New Roman"/>
          <w:b/>
          <w:sz w:val="24"/>
          <w:lang w:val="en-US"/>
        </w:rPr>
        <w:t>,</w:t>
      </w:r>
      <w:r w:rsidRPr="007A3E05">
        <w:rPr>
          <w:rFonts w:ascii="Times New Roman" w:eastAsia="Times New Roman" w:hAnsi="Times New Roman" w:cs="Times New Roman"/>
          <w:b/>
          <w:sz w:val="24"/>
          <w:lang w:val="en-US"/>
        </w:rPr>
        <w:t>266</w:t>
      </w:r>
      <w:r w:rsidR="0069206D" w:rsidRPr="007A3E05">
        <w:rPr>
          <w:rFonts w:ascii="Times New Roman" w:eastAsia="Times New Roman" w:hAnsi="Times New Roman" w:cs="Times New Roman"/>
          <w:b/>
          <w:sz w:val="24"/>
          <w:lang w:val="en-US"/>
        </w:rPr>
        <w:t>,</w:t>
      </w:r>
      <w:r w:rsidRPr="007A3E05">
        <w:rPr>
          <w:rFonts w:ascii="Times New Roman" w:eastAsia="Times New Roman" w:hAnsi="Times New Roman" w:cs="Times New Roman"/>
          <w:b/>
          <w:sz w:val="24"/>
          <w:lang w:val="en-US"/>
        </w:rPr>
        <w:t>000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dinars were planned for eleven economic classifications, as follows:</w:t>
      </w:r>
    </w:p>
    <w:p w:rsidR="0051688F" w:rsidRPr="0069206D" w:rsidRDefault="0051688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5985"/>
        <w:gridCol w:w="2659"/>
      </w:tblGrid>
      <w:tr w:rsidR="0051688F" w:rsidRPr="00A35D73" w:rsidTr="0069206D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A35D73" w:rsidRDefault="00A35D73" w:rsidP="00375098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PLANNED EXPENSES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Salaries, allowances and employee benefits (earnings)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21,466,665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Social contributions payable by the employer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3,697,503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415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Compensation of employee costs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542,640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Fixed costs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640,000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Travel expenses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14,262,340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423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 xml:space="preserve"> Contracted  services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137,826,286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426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375098" w:rsidP="00375098">
            <w:pPr>
              <w:rPr>
                <w:lang w:val="en-US"/>
              </w:rPr>
            </w:pPr>
            <w:r>
              <w:rPr>
                <w:lang w:val="en-US"/>
              </w:rPr>
              <w:t xml:space="preserve">Supplies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615,600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Foreign membership fees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900,000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483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Fines and penalties by court decisions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400,000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Equipment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4,600,000</w:t>
            </w:r>
          </w:p>
        </w:tc>
      </w:tr>
      <w:tr w:rsidR="0069206D" w:rsidRPr="00A35D73" w:rsidTr="00A35D7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206D" w:rsidRPr="00A35D73" w:rsidRDefault="0069206D" w:rsidP="00375098">
            <w:pPr>
              <w:spacing w:after="0"/>
              <w:jc w:val="both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515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rPr>
                <w:lang w:val="en-US"/>
              </w:rPr>
            </w:pPr>
            <w:r w:rsidRPr="00A35D73">
              <w:rPr>
                <w:lang w:val="en-US"/>
              </w:rPr>
              <w:t>Software, original licenses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206D" w:rsidRPr="00A35D73" w:rsidRDefault="0069206D" w:rsidP="00375098">
            <w:pPr>
              <w:jc w:val="right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lang w:val="en-US"/>
              </w:rPr>
              <w:t>1,314,966</w:t>
            </w:r>
          </w:p>
        </w:tc>
      </w:tr>
      <w:tr w:rsidR="0051688F" w:rsidRPr="00A35D73" w:rsidTr="0069206D"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A35D73" w:rsidRDefault="00A35D73" w:rsidP="0037509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TOTAL EXPENSES FOR</w:t>
            </w:r>
            <w:r w:rsidR="00374A68" w:rsidRPr="00A35D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2019 </w:t>
            </w:r>
          </w:p>
          <w:p w:rsidR="0051688F" w:rsidRPr="00A35D73" w:rsidRDefault="00374A68" w:rsidP="00375098">
            <w:pPr>
              <w:spacing w:after="0"/>
              <w:rPr>
                <w:lang w:val="en-US"/>
              </w:rPr>
            </w:pPr>
            <w:r w:rsidRPr="00A35D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186</w:t>
            </w:r>
            <w:r w:rsidR="0069206D" w:rsidRPr="00A35D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A35D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266</w:t>
            </w:r>
            <w:r w:rsidR="0069206D" w:rsidRPr="00A35D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</w:t>
            </w:r>
            <w:r w:rsidRPr="00A35D7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000                                                 </w:t>
            </w:r>
          </w:p>
        </w:tc>
      </w:tr>
    </w:tbl>
    <w:p w:rsidR="0051688F" w:rsidRPr="0069206D" w:rsidRDefault="0051688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>411- Salaries, allowances and employee benefits (earnings)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>T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his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economic classification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foresees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the costs for salaries, allowances and employee benefits in accordance with the </w:t>
      </w:r>
      <w:r>
        <w:rPr>
          <w:rFonts w:ascii="Times New Roman" w:eastAsia="Times New Roman" w:hAnsi="Times New Roman" w:cs="Times New Roman"/>
          <w:sz w:val="24"/>
          <w:lang w:val="en-US"/>
        </w:rPr>
        <w:t>expected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number of employees and the amount of salaries prescribed by the Rules of Procedure and the </w:t>
      </w:r>
      <w:r>
        <w:rPr>
          <w:rFonts w:ascii="Times New Roman" w:eastAsia="Times New Roman" w:hAnsi="Times New Roman" w:cs="Times New Roman"/>
          <w:sz w:val="24"/>
          <w:lang w:val="en-US"/>
        </w:rPr>
        <w:t>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Rulebook on Internal Organiza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tion and </w:t>
      </w:r>
      <w:r>
        <w:rPr>
          <w:rFonts w:ascii="Times New Roman" w:eastAsia="Times New Roman" w:hAnsi="Times New Roman" w:cs="Times New Roman"/>
          <w:sz w:val="24"/>
          <w:lang w:val="en-US"/>
        </w:rPr>
        <w:t>Job Descriptions.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 xml:space="preserve">412- </w:t>
      </w:r>
      <w:r w:rsidR="00A35D73" w:rsidRPr="00A35D73">
        <w:rPr>
          <w:rFonts w:ascii="Times New Roman" w:eastAsia="Times New Roman" w:hAnsi="Times New Roman" w:cs="Times New Roman"/>
          <w:b/>
          <w:sz w:val="24"/>
          <w:lang w:val="en-US"/>
        </w:rPr>
        <w:t>Social contributions payable by the employer</w:t>
      </w:r>
    </w:p>
    <w:p w:rsidR="00374A68" w:rsidRPr="0069206D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This economic classification </w:t>
      </w:r>
      <w:r w:rsidR="00F24DFB" w:rsidRPr="00F24DFB">
        <w:rPr>
          <w:rFonts w:ascii="Times New Roman" w:eastAsia="Times New Roman" w:hAnsi="Times New Roman" w:cs="Times New Roman"/>
          <w:sz w:val="24"/>
          <w:lang w:val="en-US"/>
        </w:rPr>
        <w:t xml:space="preserve">foresees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costs for social contributions </w:t>
      </w:r>
      <w:r w:rsidR="00F24DFB" w:rsidRPr="00F24DFB">
        <w:rPr>
          <w:rFonts w:ascii="Times New Roman" w:eastAsia="Times New Roman" w:hAnsi="Times New Roman" w:cs="Times New Roman"/>
          <w:sz w:val="24"/>
          <w:lang w:val="en-US"/>
        </w:rPr>
        <w:t xml:space="preserve">payable by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employer, in accordance with the </w:t>
      </w:r>
      <w:r w:rsidR="00F24DFB" w:rsidRPr="00F24DFB">
        <w:rPr>
          <w:rFonts w:ascii="Times New Roman" w:eastAsia="Times New Roman" w:hAnsi="Times New Roman" w:cs="Times New Roman"/>
          <w:sz w:val="24"/>
          <w:lang w:val="en-US"/>
        </w:rPr>
        <w:t xml:space="preserve">expected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number of employees and the amount of salaries prescribed by the Rules of Procedure.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 xml:space="preserve">415- </w:t>
      </w:r>
      <w:r w:rsidR="00A35D73" w:rsidRPr="00A35D73">
        <w:rPr>
          <w:rFonts w:ascii="Times New Roman" w:eastAsia="Times New Roman" w:hAnsi="Times New Roman" w:cs="Times New Roman"/>
          <w:b/>
          <w:sz w:val="24"/>
          <w:lang w:val="en-US"/>
        </w:rPr>
        <w:t>Compensation of employee costs</w:t>
      </w:r>
    </w:p>
    <w:p w:rsidR="00374A68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 xml:space="preserve">This economic classification foresees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cost of transporting employees to work and back is envisaged, in accordance with the </w:t>
      </w:r>
      <w:r w:rsidRPr="00F24DFB">
        <w:rPr>
          <w:rFonts w:ascii="Times New Roman" w:eastAsia="Times New Roman" w:hAnsi="Times New Roman" w:cs="Times New Roman"/>
          <w:sz w:val="24"/>
          <w:lang w:val="en-US"/>
        </w:rPr>
        <w:t xml:space="preserve">expected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number of employees and the </w:t>
      </w:r>
      <w:r>
        <w:rPr>
          <w:rFonts w:ascii="Times New Roman" w:eastAsia="Times New Roman" w:hAnsi="Times New Roman" w:cs="Times New Roman"/>
          <w:sz w:val="24"/>
          <w:lang w:val="en-US"/>
        </w:rPr>
        <w:t>cost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the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city transport</w:t>
      </w:r>
      <w:r>
        <w:rPr>
          <w:rFonts w:ascii="Times New Roman" w:eastAsia="Times New Roman" w:hAnsi="Times New Roman" w:cs="Times New Roman"/>
          <w:sz w:val="24"/>
          <w:lang w:val="en-US"/>
        </w:rPr>
        <w:t>ation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prepaid card.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 xml:space="preserve">421 - </w:t>
      </w:r>
      <w:r w:rsidR="00A35D73" w:rsidRPr="00A35D73">
        <w:rPr>
          <w:rFonts w:ascii="Times New Roman" w:eastAsia="Times New Roman" w:hAnsi="Times New Roman" w:cs="Times New Roman"/>
          <w:b/>
          <w:sz w:val="24"/>
          <w:lang w:val="en-US"/>
        </w:rPr>
        <w:t>Fixed</w:t>
      </w: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 xml:space="preserve"> costs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>This economic classification foresees the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expenses for the use of fixed and mobile telephony, the Internet and employee insurance.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>422- Travel expenses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>This economic classification foresees the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expenditures for travel expenses in the country and abroad.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 xml:space="preserve">423- </w:t>
      </w:r>
      <w:r w:rsidR="00A35D73" w:rsidRPr="00A35D73">
        <w:rPr>
          <w:rFonts w:ascii="Times New Roman" w:eastAsia="Times New Roman" w:hAnsi="Times New Roman" w:cs="Times New Roman"/>
          <w:b/>
          <w:sz w:val="24"/>
          <w:lang w:val="en-US"/>
        </w:rPr>
        <w:t>Contracted services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>This economic classification foresees the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funds for the 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>fees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>CAQA</w:t>
      </w:r>
      <w:r w:rsidR="00FE4D2D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members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based on the Government Decision </w:t>
      </w:r>
      <w:r w:rsidR="00FE4D2D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dated December 20, 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>2019</w:t>
      </w:r>
      <w:r w:rsidR="00FE4D2D" w:rsidRPr="0069206D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on granting consent to the Decision on the amount of 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FE4D2D" w:rsidRPr="00FE4D2D">
        <w:rPr>
          <w:rFonts w:ascii="Times New Roman" w:eastAsia="Times New Roman" w:hAnsi="Times New Roman" w:cs="Times New Roman"/>
          <w:sz w:val="24"/>
          <w:lang w:val="en-US"/>
        </w:rPr>
        <w:t>CAQA members fees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FE4D2D" w:rsidRPr="00FE4D2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adopted by the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16ED4" w:rsidRPr="00D16ED4">
        <w:rPr>
          <w:rFonts w:ascii="Times New Roman" w:eastAsia="Times New Roman" w:hAnsi="Times New Roman" w:cs="Times New Roman"/>
          <w:sz w:val="24"/>
          <w:lang w:val="en-US"/>
        </w:rPr>
        <w:t xml:space="preserve">Steering Board </w:t>
      </w:r>
      <w:r w:rsidR="00FE4D2D">
        <w:rPr>
          <w:rFonts w:ascii="Times New Roman" w:eastAsia="Times New Roman" w:hAnsi="Times New Roman" w:cs="Times New Roman"/>
          <w:sz w:val="24"/>
          <w:lang w:val="en-US"/>
        </w:rPr>
        <w:t>in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its session on October 25, 2018, funds </w:t>
      </w:r>
      <w:r w:rsidR="005F081B" w:rsidRPr="005F081B">
        <w:rPr>
          <w:rFonts w:ascii="Times New Roman" w:eastAsia="Times New Roman" w:hAnsi="Times New Roman" w:cs="Times New Roman"/>
          <w:sz w:val="24"/>
          <w:lang w:val="en-US"/>
        </w:rPr>
        <w:t xml:space="preserve">for the fees of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reviewers in accordance with the decision of the Government of the RS dated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February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28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2019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as well as funds for </w:t>
      </w:r>
      <w:r w:rsidR="005F081B" w:rsidRPr="005F081B">
        <w:rPr>
          <w:rFonts w:ascii="Times New Roman" w:eastAsia="Times New Roman" w:hAnsi="Times New Roman" w:cs="Times New Roman"/>
          <w:sz w:val="24"/>
          <w:lang w:val="en-US"/>
        </w:rPr>
        <w:t xml:space="preserve">the fees of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the Steering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Board </w:t>
      </w:r>
      <w:r w:rsidR="005F081B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members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in accordance with the Government Decision </w:t>
      </w:r>
      <w:r w:rsidR="005F081B" w:rsidRPr="005F081B">
        <w:rPr>
          <w:rFonts w:ascii="Times New Roman" w:eastAsia="Times New Roman" w:hAnsi="Times New Roman" w:cs="Times New Roman"/>
          <w:sz w:val="24"/>
          <w:lang w:val="en-US"/>
        </w:rPr>
        <w:t xml:space="preserve">dated </w:t>
      </w:r>
      <w:r w:rsidR="005F081B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December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20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2018. The amount of funds is planned in gross amount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based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on the assumption that they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will be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paid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based on a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service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contract. </w:t>
      </w:r>
      <w:r w:rsidR="005F081B" w:rsidRPr="0069206D">
        <w:rPr>
          <w:rFonts w:ascii="Times New Roman" w:eastAsia="Times New Roman" w:hAnsi="Times New Roman" w:cs="Times New Roman"/>
          <w:sz w:val="24"/>
          <w:lang w:val="en-US"/>
        </w:rPr>
        <w:t>Funds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are planned for the purchase of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a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car, computer equipment, for the development and maintenance of software, catering services and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entertainment costs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publishing of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tenders,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for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education </w:t>
      </w:r>
      <w:r w:rsidR="005F081B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and training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services 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>for the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employees.</w:t>
      </w:r>
      <w:r w:rsidR="005F081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374A68" w:rsidRPr="00A35D73" w:rsidRDefault="00374A68" w:rsidP="00F24D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 xml:space="preserve">426- </w:t>
      </w:r>
      <w:r w:rsidR="00375098">
        <w:rPr>
          <w:rFonts w:ascii="Times New Roman" w:eastAsia="Times New Roman" w:hAnsi="Times New Roman" w:cs="Times New Roman"/>
          <w:b/>
          <w:sz w:val="24"/>
          <w:lang w:val="en-US"/>
        </w:rPr>
        <w:t>Supplies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 xml:space="preserve">This economic classification foresees the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funds for the procurement of office and other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supplies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(toners), necessary for the smooth functioning of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and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 xml:space="preserve">for purchasing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professional literature.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 xml:space="preserve">462 - </w:t>
      </w:r>
      <w:r w:rsidR="00A35D73" w:rsidRPr="00A35D73">
        <w:rPr>
          <w:rFonts w:ascii="Times New Roman" w:eastAsia="Times New Roman" w:hAnsi="Times New Roman" w:cs="Times New Roman"/>
          <w:b/>
          <w:sz w:val="24"/>
          <w:lang w:val="en-US"/>
        </w:rPr>
        <w:t>Foreign membership fees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 </w:t>
      </w:r>
      <w:r w:rsidRPr="00F24DFB">
        <w:rPr>
          <w:rFonts w:ascii="Times New Roman" w:eastAsia="Times New Roman" w:hAnsi="Times New Roman" w:cs="Times New Roman"/>
          <w:sz w:val="24"/>
          <w:lang w:val="en-US"/>
        </w:rPr>
        <w:t xml:space="preserve">This economic classification foresees the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funds for membership fees in international organizations ENQA and EQAR.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>483 - Fines and penalties by court decision</w:t>
      </w:r>
      <w:r w:rsidR="00A35D73" w:rsidRPr="00A35D73">
        <w:rPr>
          <w:rFonts w:ascii="Times New Roman" w:eastAsia="Times New Roman" w:hAnsi="Times New Roman" w:cs="Times New Roman"/>
          <w:b/>
          <w:sz w:val="24"/>
          <w:lang w:val="en-US"/>
        </w:rPr>
        <w:t>s</w:t>
      </w:r>
    </w:p>
    <w:p w:rsidR="00374A68" w:rsidRPr="0069206D" w:rsidRDefault="00F24DFB" w:rsidP="00375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 xml:space="preserve">This economic classification foresees the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funds that include the amount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fines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according to the court decision</w:t>
      </w:r>
      <w:r w:rsidR="007A3E05">
        <w:rPr>
          <w:rFonts w:ascii="Times New Roman" w:eastAsia="Times New Roman" w:hAnsi="Times New Roman" w:cs="Times New Roman"/>
          <w:sz w:val="24"/>
          <w:lang w:val="en-US"/>
        </w:rPr>
        <w:t>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ruled against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375098" w:rsidRDefault="00375098" w:rsidP="00375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74A68" w:rsidRPr="00375098" w:rsidRDefault="00375098" w:rsidP="0037509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75098">
        <w:rPr>
          <w:rFonts w:ascii="Times New Roman" w:eastAsia="Times New Roman" w:hAnsi="Times New Roman" w:cs="Times New Roman"/>
          <w:b/>
          <w:sz w:val="24"/>
          <w:lang w:val="en-US"/>
        </w:rPr>
        <w:t xml:space="preserve">In </w:t>
      </w:r>
      <w:r w:rsidR="00374A68" w:rsidRPr="00375098">
        <w:rPr>
          <w:rFonts w:ascii="Times New Roman" w:eastAsia="Times New Roman" w:hAnsi="Times New Roman" w:cs="Times New Roman"/>
          <w:b/>
          <w:sz w:val="24"/>
          <w:lang w:val="en-US"/>
        </w:rPr>
        <w:t xml:space="preserve">class 500000 - Expenses for non-financial assets in the amount of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RSD </w:t>
      </w:r>
      <w:r w:rsidR="00374A68" w:rsidRPr="00375098">
        <w:rPr>
          <w:rFonts w:ascii="Times New Roman" w:eastAsia="Times New Roman" w:hAnsi="Times New Roman" w:cs="Times New Roman"/>
          <w:b/>
          <w:sz w:val="24"/>
          <w:lang w:val="en-US"/>
        </w:rPr>
        <w:t>5,914,966.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>512 - Machinery and equipment</w:t>
      </w:r>
    </w:p>
    <w:p w:rsidR="00374A68" w:rsidRPr="0069206D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 xml:space="preserve">This economic classification foresees the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funds for the purchase of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 xml:space="preserve">a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car and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 xml:space="preserve">of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computer equipment, necessary for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smooth </w:t>
      </w:r>
      <w:r w:rsidR="00375098" w:rsidRPr="00375098">
        <w:rPr>
          <w:rFonts w:ascii="Times New Roman" w:eastAsia="Times New Roman" w:hAnsi="Times New Roman" w:cs="Times New Roman"/>
          <w:sz w:val="24"/>
          <w:lang w:val="en-US"/>
        </w:rPr>
        <w:t xml:space="preserve">functioning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of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. In planning these funds,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the necessity of purchasing state-of-the-art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37509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computer equipment 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>was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 xml:space="preserve"> taken into account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equipment that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meet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s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all the requirements of the entire accreditation process in order to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achieve full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digitization, in accordance with the Strategy of the Government of the Republic of Serbia.</w:t>
      </w:r>
    </w:p>
    <w:p w:rsidR="00374A68" w:rsidRPr="00A35D73" w:rsidRDefault="00374A6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A35D73">
        <w:rPr>
          <w:rFonts w:ascii="Times New Roman" w:eastAsia="Times New Roman" w:hAnsi="Times New Roman" w:cs="Times New Roman"/>
          <w:b/>
          <w:sz w:val="24"/>
          <w:lang w:val="en-US"/>
        </w:rPr>
        <w:t>515 - Computer software</w:t>
      </w:r>
    </w:p>
    <w:p w:rsidR="0051688F" w:rsidRDefault="00F24DFB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F24DFB">
        <w:rPr>
          <w:rFonts w:ascii="Times New Roman" w:eastAsia="Times New Roman" w:hAnsi="Times New Roman" w:cs="Times New Roman"/>
          <w:sz w:val="24"/>
          <w:lang w:val="en-US"/>
        </w:rPr>
        <w:t>This economic classification foresees the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funds for the purchase of software and licenses, which guarantee the 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development</w:t>
      </w:r>
      <w:r w:rsidR="00374A6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of a functional information system necessary for the smooth functioning of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="0037509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375098" w:rsidRPr="0069206D" w:rsidRDefault="00375098" w:rsidP="00374A6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F24DF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Table</w:t>
      </w:r>
      <w:r w:rsidR="00374A68" w:rsidRPr="0069206D">
        <w:rPr>
          <w:rFonts w:ascii="Times New Roman" w:eastAsia="Times New Roman" w:hAnsi="Times New Roman" w:cs="Times New Roman"/>
          <w:b/>
          <w:sz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Overview of</w:t>
      </w:r>
      <w:r w:rsidR="00374A68" w:rsidRPr="0069206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F24DFB">
        <w:rPr>
          <w:rFonts w:ascii="Times New Roman" w:eastAsia="Times New Roman" w:hAnsi="Times New Roman" w:cs="Times New Roman"/>
          <w:b/>
          <w:sz w:val="24"/>
          <w:lang w:val="en-US"/>
        </w:rPr>
        <w:t>NEAQA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expenses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492"/>
        <w:gridCol w:w="1381"/>
        <w:gridCol w:w="1875"/>
        <w:gridCol w:w="1842"/>
      </w:tblGrid>
      <w:tr w:rsidR="0051688F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F24D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No.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2C3BC1" w:rsidRDefault="00F24D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Economic classification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F24DFB" w:rsidP="00F24D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Expenses in 2019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F24DFB" w:rsidP="00F24DF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Coverage of expenses from the budget of the Republic of Serbia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F24DFB">
            <w:pPr>
              <w:spacing w:after="0" w:line="240" w:lineRule="auto"/>
              <w:jc w:val="center"/>
              <w:rPr>
                <w:lang w:val="en-US"/>
              </w:rPr>
            </w:pPr>
            <w:r w:rsidRPr="00F24DFB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Coverage of expenses from the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expected revenues</w:t>
            </w:r>
          </w:p>
        </w:tc>
      </w:tr>
      <w:tr w:rsidR="0051688F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2C3BC1" w:rsidRDefault="00374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5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411 - Salaries, allowances and employee benefits (earnings)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466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466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665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4111 -  Employee salaries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665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412 - Social contributions payable by the employer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697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503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697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503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412 - Social contributions payable by the employer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503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415 - Reimbursement of employee expenses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542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542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640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4151 - Reimbursement of transportation costs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640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421 - Fixed costs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4211- Payment transaction costs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4214 - Communication services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4215 - Employee insurance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422 - Travel expenses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340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4221 - Travel expenses in the country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4222 - Travel expenses abroad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4223 - Taxi transport in working hours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980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980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423 - Contracted services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137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826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286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741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252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4231 - Administrative services (translations)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4232 - Computer services (hosting)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050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4233 - Employee education and training services for and registration fees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4234 - Information services (publication of tenders and advertisements)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4235 - Remuneration for the work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CAQA</w:t>
            </w: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members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3BC1" w:rsidRPr="0069206D" w:rsidRDefault="002C3BC1">
            <w:pPr>
              <w:spacing w:after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173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4235 - Remuneration for the members of the Steering Committee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699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4235 – Reviewers’ fees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4235 - Other professional services that are not systematized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930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4236 - Catering services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4237 - Entertainment expenses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3750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TOTAL: 426 - </w:t>
            </w:r>
            <w:r w:rsidR="003750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Supplies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4261 - Office supplies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4263-Professional literature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462 - International membership fees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4621 - International membership fees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483 - Fines and penalties by court decisions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4831 - Fines and penalties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TOTAL: 512 - Equipment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5121 - Car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</w:tr>
      <w:tr w:rsidR="002C3BC1" w:rsidRPr="0069206D" w:rsidTr="002C3BC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5122 - Computer equipment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515 - Software, original licenses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966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314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966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</w:t>
            </w:r>
          </w:p>
        </w:tc>
      </w:tr>
      <w:tr w:rsidR="002C3BC1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3BC1" w:rsidRPr="002C3BC1" w:rsidRDefault="002C3BC1" w:rsidP="00BA3B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5151 - Computer software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966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3BC1" w:rsidRPr="0069206D" w:rsidRDefault="002C3BC1">
            <w:pPr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51688F" w:rsidRPr="0069206D" w:rsidTr="002C3BC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spacing w:after="0" w:line="240" w:lineRule="auto"/>
              <w:jc w:val="center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2C3BC1" w:rsidRDefault="00374A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B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186</w:t>
            </w:r>
            <w:r w:rsidR="00A35D7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266</w:t>
            </w:r>
            <w:r w:rsidR="00A35D7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20</w:t>
            </w:r>
            <w:r w:rsidR="00A35D7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  <w:r w:rsidR="00A35D7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  <w:vAlign w:val="center"/>
          </w:tcPr>
          <w:p w:rsidR="0051688F" w:rsidRPr="0069206D" w:rsidRDefault="00374A68">
            <w:pPr>
              <w:jc w:val="right"/>
              <w:rPr>
                <w:lang w:val="en-US"/>
              </w:rPr>
            </w:pP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166</w:t>
            </w:r>
            <w:r w:rsidR="00A35D7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266</w:t>
            </w:r>
            <w:r w:rsidR="00A35D7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,</w:t>
            </w:r>
            <w:r w:rsidRPr="0069206D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000</w:t>
            </w:r>
          </w:p>
        </w:tc>
      </w:tr>
    </w:tbl>
    <w:p w:rsidR="0051688F" w:rsidRPr="0069206D" w:rsidRDefault="005168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374A68" w:rsidRPr="0069206D" w:rsidRDefault="00374A68" w:rsidP="00374A68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In the proposed </w:t>
      </w:r>
      <w:r w:rsidR="002C3BC1" w:rsidRPr="0069206D">
        <w:rPr>
          <w:rFonts w:ascii="Times New Roman" w:eastAsia="Times New Roman" w:hAnsi="Times New Roman" w:cs="Times New Roman"/>
          <w:sz w:val="24"/>
          <w:lang w:val="en-US"/>
        </w:rPr>
        <w:t>Financial Plan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expenditure planning was carried out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taking into account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24FB0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data on the number of higher education institutions and </w:t>
      </w:r>
      <w:r w:rsidR="00D55733" w:rsidRPr="00D55733">
        <w:rPr>
          <w:rFonts w:ascii="Times New Roman" w:eastAsia="Times New Roman" w:hAnsi="Times New Roman" w:cs="Times New Roman"/>
          <w:sz w:val="24"/>
          <w:lang w:val="en-US"/>
        </w:rPr>
        <w:t xml:space="preserve">the number of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study programs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that were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accredited in 2013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and that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should </w:t>
      </w:r>
      <w:r w:rsidR="00A24FB0">
        <w:rPr>
          <w:rFonts w:ascii="Times New Roman" w:eastAsia="Times New Roman" w:hAnsi="Times New Roman" w:cs="Times New Roman"/>
          <w:sz w:val="24"/>
          <w:lang w:val="en-US"/>
        </w:rPr>
        <w:t>reapply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in 2019. In addition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 to that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 newly established higher education institutions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and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new study programs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whose 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number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was calculated based on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data from the previous three-year period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,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will go through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accreditation process. However, the effect of the expected decrease in the number of accreditation requests could not affect the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decrease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expenditures due to the significantly increased costs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for the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reviewers. This was influenced by the requirements and conditionality of ENQA and EQAR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regarding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the independence of reviewers and the requirement that reviewers' commissions, in addition to 3 experts, must include both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a practice expert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and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a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student. According to the new Law, the participation of foreign experts, whose engagement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involves high costs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(travel, accommodation,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per diems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, etc.), is mandatory for the ac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creditation of PhD studies</w:t>
      </w:r>
      <w:r w:rsidR="00456585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All this is a condition for the long-term maintenance of full membership of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in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ENQA and EQAR. The planned expenditures are also affected by the fees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17 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Accreditation Commission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members and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of the </w:t>
      </w:r>
      <w:r w:rsidR="00D55733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7 </w:t>
      </w:r>
      <w:r w:rsidR="00D16ED4">
        <w:rPr>
          <w:rFonts w:ascii="Times New Roman" w:eastAsia="Times New Roman" w:hAnsi="Times New Roman" w:cs="Times New Roman"/>
          <w:sz w:val="24"/>
          <w:lang w:val="en-US"/>
        </w:rPr>
        <w:t xml:space="preserve">Steering </w:t>
      </w:r>
      <w:r w:rsidR="00D16ED4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Board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members. </w:t>
      </w:r>
      <w:r w:rsidR="00D16ED4">
        <w:rPr>
          <w:rFonts w:ascii="Times New Roman" w:eastAsia="Times New Roman" w:hAnsi="Times New Roman" w:cs="Times New Roman"/>
          <w:sz w:val="24"/>
          <w:lang w:val="en-US"/>
        </w:rPr>
        <w:t>The p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lanned cost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>for the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reviewers (85,297,434), planned travel costs and accommodation of domestic and foreign reviewers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when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visiting </w:t>
      </w:r>
      <w:r w:rsidR="00D55733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institutions (14,262,340), planned fees </w:t>
      </w:r>
      <w:r w:rsidR="009A0532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the Accreditation Commission </w:t>
      </w:r>
      <w:r w:rsidR="009A0532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members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(26,855,173) and the Management Board </w:t>
      </w:r>
      <w:r w:rsidR="009A0532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members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(11,241,699) </w:t>
      </w:r>
      <w:r w:rsidR="009A0532">
        <w:rPr>
          <w:rFonts w:ascii="Times New Roman" w:eastAsia="Times New Roman" w:hAnsi="Times New Roman" w:cs="Times New Roman"/>
          <w:sz w:val="24"/>
          <w:lang w:val="en-US"/>
        </w:rPr>
        <w:t xml:space="preserve">is a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total of </w:t>
      </w:r>
      <w:r w:rsidR="009A0532">
        <w:rPr>
          <w:rFonts w:ascii="Times New Roman" w:eastAsia="Times New Roman" w:hAnsi="Times New Roman" w:cs="Times New Roman"/>
          <w:sz w:val="24"/>
          <w:lang w:val="en-US"/>
        </w:rPr>
        <w:t xml:space="preserve">RSD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137,826,286, which makes up 74% of total expen</w:t>
      </w:r>
      <w:r w:rsidR="00C907E8"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es. </w:t>
      </w:r>
      <w:r w:rsidR="00C907E8">
        <w:rPr>
          <w:rFonts w:ascii="Times New Roman" w:eastAsia="Times New Roman" w:hAnsi="Times New Roman" w:cs="Times New Roman"/>
          <w:sz w:val="24"/>
          <w:lang w:val="en-US"/>
        </w:rPr>
        <w:t>The plan for 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ll other operating costs of</w:t>
      </w:r>
      <w:r w:rsidR="00A35D73">
        <w:rPr>
          <w:rFonts w:ascii="Times New Roman" w:eastAsia="Times New Roman" w:hAnsi="Times New Roman" w:cs="Times New Roman"/>
          <w:sz w:val="24"/>
          <w:lang w:val="en-US"/>
        </w:rPr>
        <w:t xml:space="preserve"> NEAQA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(employee salaries, computer equipment, computer software, car purchas</w:t>
      </w:r>
      <w:r w:rsidR="00C907E8"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and other administrative costs) </w:t>
      </w:r>
      <w:r w:rsidR="00C907E8">
        <w:rPr>
          <w:rFonts w:ascii="Times New Roman" w:eastAsia="Times New Roman" w:hAnsi="Times New Roman" w:cs="Times New Roman"/>
          <w:sz w:val="24"/>
          <w:lang w:val="en-US"/>
        </w:rPr>
        <w:t>was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restrictive. </w:t>
      </w:r>
      <w:r w:rsidR="00C907E8" w:rsidRPr="0069206D">
        <w:rPr>
          <w:rFonts w:ascii="Times New Roman" w:eastAsia="Times New Roman" w:hAnsi="Times New Roman" w:cs="Times New Roman"/>
          <w:sz w:val="24"/>
          <w:lang w:val="en-US"/>
        </w:rPr>
        <w:t>T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he</w:t>
      </w:r>
      <w:r w:rsidR="00C907E8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plan </w:t>
      </w:r>
      <w:r w:rsidR="00C907E8">
        <w:rPr>
          <w:rFonts w:ascii="Times New Roman" w:eastAsia="Times New Roman" w:hAnsi="Times New Roman" w:cs="Times New Roman"/>
          <w:sz w:val="24"/>
          <w:lang w:val="en-US"/>
        </w:rPr>
        <w:t xml:space="preserve">illustrates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that </w:t>
      </w:r>
      <w:r w:rsidR="00C907E8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the planned revenues from fees and the planned budget funds can cover </w:t>
      </w:r>
      <w:r w:rsidRPr="0069206D">
        <w:rPr>
          <w:rFonts w:ascii="Times New Roman" w:eastAsia="Times New Roman" w:hAnsi="Times New Roman" w:cs="Times New Roman"/>
          <w:sz w:val="24"/>
          <w:lang w:val="en-US"/>
        </w:rPr>
        <w:t>the planned expenditures.</w:t>
      </w:r>
    </w:p>
    <w:p w:rsidR="00374A68" w:rsidRPr="0069206D" w:rsidRDefault="00374A68" w:rsidP="00374A68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51688F" w:rsidRPr="0069206D" w:rsidRDefault="0051688F">
      <w:pPr>
        <w:spacing w:after="0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A24FB0" w:rsidRPr="0069206D" w:rsidRDefault="00374A68" w:rsidP="00A24FB0">
      <w:pPr>
        <w:spacing w:after="0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                   </w:t>
      </w:r>
      <w:r w:rsidR="00A24FB0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                                                                              Chairman of the </w:t>
      </w:r>
      <w:r w:rsidR="00A24FB0">
        <w:rPr>
          <w:rFonts w:ascii="Times New Roman" w:eastAsia="Times New Roman" w:hAnsi="Times New Roman" w:cs="Times New Roman"/>
          <w:sz w:val="24"/>
          <w:lang w:val="en-US"/>
        </w:rPr>
        <w:t>NEAQA</w:t>
      </w:r>
      <w:r w:rsidR="00A24FB0" w:rsidRPr="0069206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24FB0">
        <w:rPr>
          <w:rFonts w:ascii="Times New Roman" w:eastAsia="Times New Roman" w:hAnsi="Times New Roman" w:cs="Times New Roman"/>
          <w:sz w:val="24"/>
          <w:lang w:val="en-US"/>
        </w:rPr>
        <w:t>Steering Board</w:t>
      </w:r>
    </w:p>
    <w:p w:rsidR="0051688F" w:rsidRPr="0069206D" w:rsidRDefault="00A24FB0" w:rsidP="00A24FB0">
      <w:pPr>
        <w:spacing w:after="0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 w:rsidRPr="0069206D">
        <w:rPr>
          <w:rFonts w:ascii="Times New Roman" w:eastAsia="Times New Roman" w:hAnsi="Times New Roman" w:cs="Times New Roman"/>
          <w:sz w:val="24"/>
          <w:lang w:val="en-US"/>
        </w:rPr>
        <w:t>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      Prof.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Sima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Avramović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>, PhD</w:t>
      </w:r>
    </w:p>
    <w:sectPr w:rsidR="0051688F" w:rsidRPr="0069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C6" w:rsidRDefault="00E05AC6" w:rsidP="0069206D">
      <w:pPr>
        <w:spacing w:after="0" w:line="240" w:lineRule="auto"/>
      </w:pPr>
      <w:r>
        <w:separator/>
      </w:r>
    </w:p>
  </w:endnote>
  <w:endnote w:type="continuationSeparator" w:id="0">
    <w:p w:rsidR="00E05AC6" w:rsidRDefault="00E05AC6" w:rsidP="0069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C6" w:rsidRDefault="00E05AC6" w:rsidP="0069206D">
      <w:pPr>
        <w:spacing w:after="0" w:line="240" w:lineRule="auto"/>
      </w:pPr>
      <w:r>
        <w:separator/>
      </w:r>
    </w:p>
  </w:footnote>
  <w:footnote w:type="continuationSeparator" w:id="0">
    <w:p w:rsidR="00E05AC6" w:rsidRDefault="00E05AC6" w:rsidP="0069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259"/>
    <w:multiLevelType w:val="hybridMultilevel"/>
    <w:tmpl w:val="245A19E0"/>
    <w:lvl w:ilvl="0" w:tplc="241A0019">
      <w:start w:val="1"/>
      <w:numFmt w:val="low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77D13"/>
    <w:multiLevelType w:val="hybridMultilevel"/>
    <w:tmpl w:val="508EF1F0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92A9A"/>
    <w:multiLevelType w:val="hybridMultilevel"/>
    <w:tmpl w:val="3F563412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91930"/>
    <w:multiLevelType w:val="multilevel"/>
    <w:tmpl w:val="E70C6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F149D4"/>
    <w:multiLevelType w:val="multilevel"/>
    <w:tmpl w:val="FA5E6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95BC2"/>
    <w:multiLevelType w:val="hybridMultilevel"/>
    <w:tmpl w:val="D36678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D70FC"/>
    <w:multiLevelType w:val="hybridMultilevel"/>
    <w:tmpl w:val="BA04ADEC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15BC8"/>
    <w:multiLevelType w:val="hybridMultilevel"/>
    <w:tmpl w:val="D2B4F898"/>
    <w:lvl w:ilvl="0" w:tplc="241A0019">
      <w:start w:val="1"/>
      <w:numFmt w:val="low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06098"/>
    <w:multiLevelType w:val="hybridMultilevel"/>
    <w:tmpl w:val="C4406C98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03A75"/>
    <w:multiLevelType w:val="multilevel"/>
    <w:tmpl w:val="D4BCA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6D0559"/>
    <w:multiLevelType w:val="hybridMultilevel"/>
    <w:tmpl w:val="00F6575E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C65CB"/>
    <w:multiLevelType w:val="hybridMultilevel"/>
    <w:tmpl w:val="E9C82C66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F3FF6"/>
    <w:multiLevelType w:val="multilevel"/>
    <w:tmpl w:val="1D36E1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E96CA4"/>
    <w:multiLevelType w:val="hybridMultilevel"/>
    <w:tmpl w:val="4E7202AA"/>
    <w:lvl w:ilvl="0" w:tplc="241A0019">
      <w:start w:val="1"/>
      <w:numFmt w:val="low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31FA1"/>
    <w:multiLevelType w:val="hybridMultilevel"/>
    <w:tmpl w:val="36607284"/>
    <w:lvl w:ilvl="0" w:tplc="77F0C2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C7F5A"/>
    <w:multiLevelType w:val="hybridMultilevel"/>
    <w:tmpl w:val="FECEBC30"/>
    <w:lvl w:ilvl="0" w:tplc="241A0019">
      <w:start w:val="1"/>
      <w:numFmt w:val="low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3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8F"/>
    <w:rsid w:val="002C3BC1"/>
    <w:rsid w:val="00374A68"/>
    <w:rsid w:val="00375098"/>
    <w:rsid w:val="003E0C42"/>
    <w:rsid w:val="00456585"/>
    <w:rsid w:val="0051688F"/>
    <w:rsid w:val="005F081B"/>
    <w:rsid w:val="006273E3"/>
    <w:rsid w:val="0069206D"/>
    <w:rsid w:val="006A30A9"/>
    <w:rsid w:val="007A3E05"/>
    <w:rsid w:val="009A0532"/>
    <w:rsid w:val="009B0A64"/>
    <w:rsid w:val="00A24FB0"/>
    <w:rsid w:val="00A35D73"/>
    <w:rsid w:val="00A46865"/>
    <w:rsid w:val="00AD13DF"/>
    <w:rsid w:val="00C907E8"/>
    <w:rsid w:val="00CB442D"/>
    <w:rsid w:val="00CD08D1"/>
    <w:rsid w:val="00D16ED4"/>
    <w:rsid w:val="00D36159"/>
    <w:rsid w:val="00D55733"/>
    <w:rsid w:val="00E05AC6"/>
    <w:rsid w:val="00ED5345"/>
    <w:rsid w:val="00F24DFB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6D"/>
  </w:style>
  <w:style w:type="paragraph" w:styleId="Footer">
    <w:name w:val="footer"/>
    <w:basedOn w:val="Normal"/>
    <w:link w:val="FooterChar"/>
    <w:uiPriority w:val="99"/>
    <w:unhideWhenUsed/>
    <w:rsid w:val="0069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6D"/>
  </w:style>
  <w:style w:type="table" w:styleId="TableGrid">
    <w:name w:val="Table Grid"/>
    <w:basedOn w:val="TableNormal"/>
    <w:uiPriority w:val="59"/>
    <w:rsid w:val="0069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6D"/>
  </w:style>
  <w:style w:type="paragraph" w:styleId="Footer">
    <w:name w:val="footer"/>
    <w:basedOn w:val="Normal"/>
    <w:link w:val="FooterChar"/>
    <w:uiPriority w:val="99"/>
    <w:unhideWhenUsed/>
    <w:rsid w:val="0069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6D"/>
  </w:style>
  <w:style w:type="table" w:styleId="TableGrid">
    <w:name w:val="Table Grid"/>
    <w:basedOn w:val="TableNormal"/>
    <w:uiPriority w:val="59"/>
    <w:rsid w:val="0069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Sasa</cp:lastModifiedBy>
  <cp:revision>6</cp:revision>
  <dcterms:created xsi:type="dcterms:W3CDTF">2019-07-07T16:33:00Z</dcterms:created>
  <dcterms:modified xsi:type="dcterms:W3CDTF">2019-07-08T05:46:00Z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186221377</vt:i4>
  </property>
</Properties>
</file>